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7" w:rsidRPr="00EE494C" w:rsidRDefault="00716B87" w:rsidP="00D37E84">
      <w:pPr>
        <w:pStyle w:val="Default"/>
        <w:jc w:val="both"/>
        <w:rPr>
          <w:sz w:val="28"/>
          <w:szCs w:val="28"/>
        </w:rPr>
      </w:pPr>
    </w:p>
    <w:p w:rsidR="00C939D4" w:rsidRPr="00EE494C" w:rsidRDefault="00716B87" w:rsidP="00EE4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94C">
        <w:rPr>
          <w:rFonts w:ascii="Times New Roman" w:hAnsi="Times New Roman" w:cs="Times New Roman"/>
          <w:b/>
          <w:bCs/>
          <w:sz w:val="28"/>
          <w:szCs w:val="28"/>
        </w:rPr>
        <w:t>Sažetak programskog dokumenta Programa prekogranične suradnje Mađarska - Hrvatska 2014. – 2020.</w:t>
      </w:r>
    </w:p>
    <w:p w:rsidR="00EE494C" w:rsidRPr="009B5364" w:rsidRDefault="00EE494C" w:rsidP="00D37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A1" w:rsidRPr="00EE494C" w:rsidRDefault="009B5364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Strateška procjena utjecaja na okoliš u sklopu Programa prekogranične suradnje Mađarska – Hrvatska 2014.-2020. provest će se u skladu s Direktivom 2001/42/EC Europskog parlamenta i Vijeća od 27. lipnja 2001. godine o procjeni utjecaja određenih planova i programa na okoliš (SEA Direktiva) i relevantnim nacionalnim zakonodavstvom.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494C">
        <w:rPr>
          <w:rFonts w:ascii="Times New Roman" w:hAnsi="Times New Roman" w:cs="Times New Roman"/>
          <w:b/>
        </w:rPr>
        <w:t>1.  Informacije o Programu suradnje</w:t>
      </w:r>
    </w:p>
    <w:p w:rsidR="008E73A1" w:rsidRPr="00EE494C" w:rsidRDefault="008E73A1" w:rsidP="00D37E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u w:val="single"/>
        </w:rPr>
        <w:t>Naziv</w:t>
      </w:r>
      <w:r w:rsidRPr="00EE494C">
        <w:rPr>
          <w:rFonts w:ascii="Times New Roman" w:hAnsi="Times New Roman" w:cs="Times New Roman"/>
        </w:rPr>
        <w:t xml:space="preserve">: </w:t>
      </w:r>
      <w:r w:rsidRPr="00EE494C">
        <w:rPr>
          <w:rFonts w:ascii="Times New Roman" w:hAnsi="Times New Roman" w:cs="Times New Roman"/>
        </w:rPr>
        <w:tab/>
      </w:r>
      <w:r w:rsidRPr="00EE494C">
        <w:rPr>
          <w:rFonts w:ascii="Times New Roman" w:hAnsi="Times New Roman" w:cs="Times New Roman"/>
          <w:b/>
        </w:rPr>
        <w:t>Program prekogranične suradnje</w:t>
      </w:r>
      <w:r w:rsidRPr="00EE494C">
        <w:rPr>
          <w:rFonts w:ascii="Times New Roman" w:hAnsi="Times New Roman" w:cs="Times New Roman"/>
        </w:rPr>
        <w:t xml:space="preserve"> </w:t>
      </w:r>
      <w:r w:rsidRPr="00EE494C">
        <w:rPr>
          <w:rFonts w:ascii="Times New Roman" w:hAnsi="Times New Roman" w:cs="Times New Roman"/>
          <w:b/>
          <w:bCs/>
        </w:rPr>
        <w:t xml:space="preserve">Mađarska-Hrvatska </w:t>
      </w:r>
      <w:r w:rsidRPr="00EE494C">
        <w:rPr>
          <w:rFonts w:ascii="Times New Roman" w:hAnsi="Times New Roman" w:cs="Times New Roman"/>
          <w:b/>
        </w:rPr>
        <w:t>2014. – 2020.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u w:val="single"/>
        </w:rPr>
        <w:t>Tip</w:t>
      </w:r>
      <w:r w:rsidRPr="00EE494C">
        <w:rPr>
          <w:rFonts w:ascii="Times New Roman" w:hAnsi="Times New Roman" w:cs="Times New Roman"/>
        </w:rPr>
        <w:t xml:space="preserve">: </w:t>
      </w:r>
      <w:r w:rsidRPr="00EE494C">
        <w:rPr>
          <w:rFonts w:ascii="Times New Roman" w:hAnsi="Times New Roman" w:cs="Times New Roman"/>
        </w:rPr>
        <w:tab/>
        <w:t xml:space="preserve">Program prekogranične suradnje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u w:val="single"/>
        </w:rPr>
        <w:t>Sadržaj</w:t>
      </w:r>
      <w:r w:rsidRPr="00EE494C">
        <w:rPr>
          <w:rFonts w:ascii="Times New Roman" w:hAnsi="Times New Roman" w:cs="Times New Roman"/>
        </w:rPr>
        <w:t xml:space="preserve">: Program je trenutno u </w:t>
      </w:r>
      <w:r w:rsidRPr="00EE494C">
        <w:rPr>
          <w:rFonts w:ascii="Times New Roman" w:hAnsi="Times New Roman" w:cs="Times New Roman"/>
          <w:b/>
        </w:rPr>
        <w:t>fazi planiranja</w:t>
      </w:r>
      <w:r w:rsidRPr="00EE494C">
        <w:rPr>
          <w:rFonts w:ascii="Times New Roman" w:hAnsi="Times New Roman" w:cs="Times New Roman"/>
        </w:rPr>
        <w:t xml:space="preserve">, tijekom koje će se odabrati i razraditi prioriteti i aktivnosti.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Program prekogranične suradnje između Mađarske i Hrvatske jedan je od programa europske teritorijalne suradnje koji predstavljaju značajan dio Kohezijske politike Europske unije. Navedeni programi doprinose cjelokupnoj ekonomskoj, socijalnoj i teritorijalnoj koheziji EU na način da se bave  problematikom koja prelazi granice između država i regija. Ciljevi programa europske teritorijalne suradnje su stvaranje zajedničkog identiteta, integriranog fizičkog prostora, uravnoteženog razvoja te poboljšanih politika i upravljanja. U svrhu ostvarivanja navedenih ciljeva, programi prekogranične suradnje identificiraju zajedničke izazove u graničnim regijama te mjere za rješavanje tih izazova.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494C">
        <w:rPr>
          <w:rFonts w:ascii="Times New Roman" w:hAnsi="Times New Roman" w:cs="Times New Roman"/>
          <w:u w:val="single"/>
        </w:rPr>
        <w:t xml:space="preserve">Programsko područje: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Mađarska: </w:t>
      </w:r>
      <w:r w:rsidRPr="00EE494C">
        <w:rPr>
          <w:rFonts w:ascii="Times New Roman" w:hAnsi="Times New Roman" w:cs="Times New Roman"/>
        </w:rPr>
        <w:tab/>
        <w:t xml:space="preserve">Županije </w:t>
      </w:r>
      <w:proofErr w:type="spellStart"/>
      <w:r w:rsidRPr="00EE494C">
        <w:rPr>
          <w:rFonts w:ascii="Times New Roman" w:hAnsi="Times New Roman" w:cs="Times New Roman"/>
        </w:rPr>
        <w:t>Somogy</w:t>
      </w:r>
      <w:proofErr w:type="spellEnd"/>
      <w:r w:rsidRPr="00EE494C">
        <w:rPr>
          <w:rFonts w:ascii="Times New Roman" w:hAnsi="Times New Roman" w:cs="Times New Roman"/>
        </w:rPr>
        <w:t xml:space="preserve">, </w:t>
      </w:r>
      <w:proofErr w:type="spellStart"/>
      <w:r w:rsidRPr="00EE494C">
        <w:rPr>
          <w:rFonts w:ascii="Times New Roman" w:hAnsi="Times New Roman" w:cs="Times New Roman"/>
        </w:rPr>
        <w:t>Baranya</w:t>
      </w:r>
      <w:proofErr w:type="spellEnd"/>
      <w:r w:rsidRPr="00EE494C">
        <w:rPr>
          <w:rFonts w:ascii="Times New Roman" w:hAnsi="Times New Roman" w:cs="Times New Roman"/>
        </w:rPr>
        <w:t xml:space="preserve"> i Zala </w:t>
      </w:r>
    </w:p>
    <w:p w:rsidR="008E73A1" w:rsidRPr="00EE494C" w:rsidRDefault="008E73A1" w:rsidP="00D37E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Hrvatska:</w:t>
      </w:r>
      <w:r w:rsidRPr="00EE494C">
        <w:rPr>
          <w:rFonts w:ascii="Times New Roman" w:hAnsi="Times New Roman" w:cs="Times New Roman"/>
        </w:rPr>
        <w:tab/>
      </w:r>
      <w:r w:rsidRPr="00EE494C">
        <w:rPr>
          <w:rFonts w:ascii="Times New Roman" w:hAnsi="Times New Roman" w:cs="Times New Roman"/>
        </w:rPr>
        <w:tab/>
        <w:t xml:space="preserve">Međimurska, Koprivničko-križevačka, Virovitičko-podravska i Osječko-baranjska županija </w:t>
      </w:r>
      <w:r w:rsidR="00EE494C">
        <w:rPr>
          <w:rFonts w:ascii="Times New Roman" w:hAnsi="Times New Roman" w:cs="Times New Roman"/>
        </w:rPr>
        <w:t>te</w:t>
      </w:r>
      <w:r w:rsidRPr="00EE494C">
        <w:rPr>
          <w:rFonts w:ascii="Times New Roman" w:hAnsi="Times New Roman" w:cs="Times New Roman"/>
        </w:rPr>
        <w:t xml:space="preserve"> Varaždinska, Bjelovarsko-bilogorska, Požeško-slavonska i Vukovarsko-srijemska županija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494C">
        <w:rPr>
          <w:rFonts w:ascii="Times New Roman" w:hAnsi="Times New Roman" w:cs="Times New Roman"/>
        </w:rPr>
        <w:t>Programsko područje pokriva 31.085 km</w:t>
      </w:r>
      <w:r w:rsidRPr="00EE494C">
        <w:rPr>
          <w:rFonts w:ascii="Times New Roman" w:hAnsi="Times New Roman" w:cs="Times New Roman"/>
          <w:vertAlign w:val="superscript"/>
        </w:rPr>
        <w:t xml:space="preserve">2 </w:t>
      </w:r>
      <w:r w:rsidRPr="00EE494C">
        <w:rPr>
          <w:rFonts w:ascii="Times New Roman" w:hAnsi="Times New Roman" w:cs="Times New Roman"/>
        </w:rPr>
        <w:t xml:space="preserve">i ima oko 2,1 milijun stanovnika, od kojih 46% živi u Mađarskoj i 54% u Hrvatskoj. Na mađarskoj strani program obuhvaća tri županije, od kojih </w:t>
      </w:r>
      <w:proofErr w:type="spellStart"/>
      <w:r w:rsidRPr="00EE494C">
        <w:rPr>
          <w:rFonts w:ascii="Times New Roman" w:hAnsi="Times New Roman" w:cs="Times New Roman"/>
        </w:rPr>
        <w:t>Somogy</w:t>
      </w:r>
      <w:proofErr w:type="spellEnd"/>
      <w:r w:rsidRPr="00EE494C">
        <w:rPr>
          <w:rFonts w:ascii="Times New Roman" w:hAnsi="Times New Roman" w:cs="Times New Roman"/>
        </w:rPr>
        <w:t xml:space="preserve"> ima najveću površinu, a </w:t>
      </w:r>
      <w:proofErr w:type="spellStart"/>
      <w:r w:rsidRPr="00EE494C">
        <w:rPr>
          <w:rFonts w:ascii="Times New Roman" w:hAnsi="Times New Roman" w:cs="Times New Roman"/>
        </w:rPr>
        <w:t>Baranya</w:t>
      </w:r>
      <w:proofErr w:type="spellEnd"/>
      <w:r w:rsidRPr="00EE494C">
        <w:rPr>
          <w:rFonts w:ascii="Times New Roman" w:hAnsi="Times New Roman" w:cs="Times New Roman"/>
        </w:rPr>
        <w:t xml:space="preserve"> najviše stanovnika. Na hrvatskoj strani programsko područje sastoji se od osam županija, od</w:t>
      </w:r>
      <w:r w:rsidR="00EE494C">
        <w:rPr>
          <w:rFonts w:ascii="Times New Roman" w:hAnsi="Times New Roman" w:cs="Times New Roman"/>
        </w:rPr>
        <w:t xml:space="preserve"> kojih je najveća Osječko-b</w:t>
      </w:r>
      <w:r w:rsidRPr="00EE494C">
        <w:rPr>
          <w:rFonts w:ascii="Times New Roman" w:hAnsi="Times New Roman" w:cs="Times New Roman"/>
        </w:rPr>
        <w:t xml:space="preserve">aranjska županija, i površinom i brojem stanovnika. Područje je uglavnom ruralno s određenim brojem malih i srednjih gradova. Dva najveća urbana centra, </w:t>
      </w:r>
      <w:proofErr w:type="spellStart"/>
      <w:r w:rsidRPr="00EE494C">
        <w:rPr>
          <w:rFonts w:ascii="Times New Roman" w:hAnsi="Times New Roman" w:cs="Times New Roman"/>
        </w:rPr>
        <w:t>Pecs</w:t>
      </w:r>
      <w:proofErr w:type="spellEnd"/>
      <w:r w:rsidRPr="00EE494C">
        <w:rPr>
          <w:rFonts w:ascii="Times New Roman" w:hAnsi="Times New Roman" w:cs="Times New Roman"/>
        </w:rPr>
        <w:t xml:space="preserve"> u Mađarskoj i Osijek u Hrvatskoj, nalaze se u istočnom dijelu programskog područja.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>2. Glavni ciljevi Programa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Očekuje se da će strategija programa doprinijeti cjelokupnoj dugoročnoj viziji programskog područja, oblikovanoj od strane različitih sudionika procesa programiranja na sljedeći način: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E494C">
        <w:rPr>
          <w:rFonts w:ascii="Times New Roman" w:hAnsi="Times New Roman" w:cs="Times New Roman"/>
          <w:i/>
          <w:iCs/>
        </w:rPr>
        <w:t>“Granično područje Mađarska – Hrvatska označava intenzivna i raznovrsna suradnja koju omogućuje odgovarajuća prekogranična povezanost, zajedničko znanje i aktivni i motivirani sudionici društva, u čijem fokusu stoji održivo i poboljšano korištenje bogatih prirodnih i kulturnih resursa i trajno obogaćivanje institucionalnih i individualnih odnosa diljem granice.”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Strategija koja predstavlja osnovu Programa treba se fokusirati na uklanjanje ili smanjenje postojećih slabosti različitih socijalnih i ekonomskih pod-sistema regije, pripremajući regije na korištenje prednosti vanjskih prednosti u nastajanju. U manjem opsegu treba slijediti i pristup stabilizacije i jačanja trenutno slabe imovine kako bi se minimizirao utjecaj vanjskih prijetnji. Spomenuti pristup očituje se, između ostalog, u sljedećem:</w:t>
      </w:r>
    </w:p>
    <w:p w:rsidR="008E73A1" w:rsidRPr="00EE494C" w:rsidRDefault="00EE494C" w:rsidP="00D37E8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poticanje lokalnih MSP-ova</w:t>
      </w:r>
      <w:r w:rsidR="008E73A1" w:rsidRPr="00EE494C">
        <w:rPr>
          <w:rFonts w:ascii="Times New Roman" w:hAnsi="Times New Roman" w:cs="Times New Roman"/>
        </w:rPr>
        <w:t xml:space="preserve"> stvaranjem boljih uvjeta umrežavanja i stvarnog iskustva dodane vrijednosti suradnje</w:t>
      </w:r>
    </w:p>
    <w:p w:rsidR="008E73A1" w:rsidRPr="00EE494C" w:rsidRDefault="008E73A1" w:rsidP="00D37E8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razvoj atrakcija za turiste i poticaja za pružatelje turističkih usluga u svrhu boljeg korištenja raznovrsne kulturne baštine i prirodnog okoliša</w:t>
      </w:r>
    </w:p>
    <w:p w:rsidR="008E73A1" w:rsidRPr="00EE494C" w:rsidRDefault="008E73A1" w:rsidP="00D37E8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priprema i provedba projekata prometne infrastrukture malih razmjera kako bi se razvila unutrašnja povezanost regije, a s ciljem smanjivanja barijera u prekograničnoj suradnji lokalnih i prekograničnog kretanja posjetitelja </w:t>
      </w:r>
    </w:p>
    <w:p w:rsidR="008E73A1" w:rsidRPr="00EE494C" w:rsidRDefault="008E73A1" w:rsidP="00D37E8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jačanje suradnje kroz potporu direktnoj suradnji i obrazovnih sadržaja na temu suradnje,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pri čemu se zadnji koristi u slučajevima poboljšanja sposobnosti regije da se nosi s utjecajima klimatskih promjena i ostalim rizicima pomažući</w:t>
      </w:r>
    </w:p>
    <w:p w:rsidR="008E73A1" w:rsidRPr="00EE494C" w:rsidRDefault="008E73A1" w:rsidP="00D37E8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zajedničkom upravljanju prirodnim resursima, kao što su šume i ostali ekosustavi, staništa i izvori vode, prekogranični prijenos </w:t>
      </w:r>
      <w:r w:rsidR="00EE494C">
        <w:rPr>
          <w:rFonts w:ascii="Times New Roman" w:hAnsi="Times New Roman" w:cs="Times New Roman"/>
        </w:rPr>
        <w:t>´</w:t>
      </w:r>
      <w:proofErr w:type="spellStart"/>
      <w:r w:rsidRPr="00EE494C">
        <w:rPr>
          <w:rFonts w:ascii="Times New Roman" w:hAnsi="Times New Roman" w:cs="Times New Roman"/>
        </w:rPr>
        <w:t>know-how</w:t>
      </w:r>
      <w:proofErr w:type="spellEnd"/>
      <w:r w:rsidR="00EE494C">
        <w:rPr>
          <w:rFonts w:ascii="Times New Roman" w:hAnsi="Times New Roman" w:cs="Times New Roman"/>
        </w:rPr>
        <w:t>´</w:t>
      </w:r>
      <w:r w:rsidRPr="00EE494C">
        <w:rPr>
          <w:rFonts w:ascii="Times New Roman" w:hAnsi="Times New Roman" w:cs="Times New Roman"/>
        </w:rPr>
        <w:t xml:space="preserve"> i uspostava infrastrukturnih projekata malih razmjera </w:t>
      </w:r>
    </w:p>
    <w:p w:rsidR="008E73A1" w:rsidRPr="00EE494C" w:rsidRDefault="008E73A1" w:rsidP="00D37E8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poboljšanje prekograničnih informacija, nadzora i sustava prognoze u svrhu boljeg upravljanje rizicima katastrofa, prirodnih i uzrokovanih od strane ljudi, kao što su poplave, požari ili opasan otpad industrijskog porijekla.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94C">
        <w:rPr>
          <w:rFonts w:ascii="Times New Roman" w:hAnsi="Times New Roman" w:cs="Times New Roman"/>
          <w:b/>
        </w:rPr>
        <w:t>3. Informacije o trenutnoj situaciji s naglaskom na problematici okoliša: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Resursi prekograničnog područja su snažno povezani s tri riječna sliva. Navedena prirodna baština – i povezana kulturna baština – bi mogla biti izvor i ekonomske stabilnosti i ekonomskog napretka za slabije razvijena područja.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Potrebno je poboljšati infrastrukturu turističke prirodne i kulturne baštine s ciljem razvoja ekonomskog sektora u ovom prekograničnom području da bi se podržala daljnja zaštita i aktivnosti očuvanja glavnog resursa, prirode.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U graničnom području Hrvatske još uvijek postoje minska polja odnosno opasnost od neeksplodiranih mina što onemogućuje pristup i pojedinim zaštićenim područjima prirode u Mađarskoj. Iako je postignut napredak na tom području, nastavak i završetak aktivnosti čišćenja je prijeko potreban u da bi se omogućio pristup i korištenje cijelog teritorija graničnog područja.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Granica Hrvatske i Mađarske je iznimno nepropusna: ima najmanje graničnih prijelaza od svih mađarskih granica. Prosječna udaljenost između graničnih prijelaza je 62 km (otprilike dvostruka udaljenost u usporedbi s prosjekom na cijeloj mađarskoj granici). Posljedično, pristupačnost turističkim destinacijama je slaba i priječi razvoj turističkih mreža i zajedničkih turističkih paketa. 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Regiju kao cjelinu karakterizira visoka </w:t>
      </w:r>
      <w:proofErr w:type="spellStart"/>
      <w:r w:rsidRPr="00EE494C">
        <w:rPr>
          <w:rFonts w:ascii="Times New Roman" w:hAnsi="Times New Roman" w:cs="Times New Roman"/>
        </w:rPr>
        <w:t>bioraznolikost</w:t>
      </w:r>
      <w:proofErr w:type="spellEnd"/>
      <w:r w:rsidRPr="00EE494C">
        <w:rPr>
          <w:rFonts w:ascii="Times New Roman" w:hAnsi="Times New Roman" w:cs="Times New Roman"/>
        </w:rPr>
        <w:t xml:space="preserve">, šarolikost ekosustava i bogata prirodna baština. Stoga je uspostavljen velik broj zaštićenih područja, kao Dunav-Drava nacionalni park, Mura-Drava regionalni park na mađarskoj strani i parkovi prirode na hrvatskoj strani, kao što su Kopački rit s ornitološkim rezervatom i planina Papuk, te lokacije Natura 2000 na obje strane granice. </w:t>
      </w:r>
    </w:p>
    <w:p w:rsidR="008E73A1" w:rsidRPr="00EE494C" w:rsidRDefault="008E73A1" w:rsidP="00D37E84">
      <w:pPr>
        <w:pStyle w:val="TabelleText"/>
        <w:spacing w:before="0" w:after="0"/>
        <w:jc w:val="both"/>
        <w:rPr>
          <w:rFonts w:ascii="Times New Roman" w:hAnsi="Times New Roman" w:cs="Times New Roman"/>
          <w:lang w:val="hr-HR"/>
        </w:rPr>
      </w:pPr>
      <w:r w:rsidRPr="00EE494C">
        <w:rPr>
          <w:rFonts w:ascii="Times New Roman" w:hAnsi="Times New Roman" w:cs="Times New Roman"/>
          <w:lang w:val="hr-HR"/>
        </w:rPr>
        <w:t>Analiza pokazuje značajnu razmjenu iskustava i suradnju u području zaštite prirodne baštine između nacionalnih nadležnih tijela. Međutim, postoji veliki interes u programskom području za budućom suradnjom u obnovi i zaštiti prirodne baštine. S ciljem osiguranja održivosti močvara i kontinuirano malog utjecaj poplava na ljude, treba poduzeti mjere zaštite navedene baštine. Žabokrečine (“mrtvi kanali”) kao ključni dio sustava za navodnjavanje trebaju se zaštiti i obnoviti, a ne isušivati ili prepustiti obrastanju invazivnih vrsta. Potrebno je promicati manje agresivno i raznolikije poljoprivredno i tradicionalno korištenje zemljišta.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Analiza je pokazala da granično područje Mađarska – Hrvatska raspolaže značajnim sredstvima koja se mogu iskoristiti u svrhu jačanja socijalnog i ekonomskog razvoja regije.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Najvažnija su: 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iznimna kvaliteta prirodnih i kulturnih resursa, kao prirodni okoliš u području, granične rijeke Mura, Drava i Dunav te bogata povijesna baština 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postojanje dinamičnih gradova srednje veličine s institucijama višeg obrazovanja i živopisnim kulturnim i poduzetničkim životom u obje zemlje 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odličan potencijal za uzgoj hrane i drugih poljoprivrednih proizvoda zajedno s dugotrajnom tradicijom i znanjem.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lastRenderedPageBreak/>
        <w:t xml:space="preserve">Međutim, rezultat analize pokazuje i da se relativno malo navedenih potencijala učinkovito iskorištava, što je najvećim dijelom posljedica: 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fizičkih barijera na riječnim granicama bez odgovarajuće infrastrukture graničnih prijelaza 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suradnja i veza između sveučilišta i poslovnog svijeta je slaba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postoje različite neusklađenosti između vještina i kvalifikacija u graničnom području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niska razina znanja jezika među stanovnicima regije </w:t>
      </w:r>
    </w:p>
    <w:p w:rsidR="008E73A1" w:rsidRPr="00EE494C" w:rsidRDefault="008E73A1" w:rsidP="00D37E8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nedostajući elementi infrastrukture (slaba prekogranična povezanost i rijetke regionalne transportne mreže, nerazvijena turistička i ostala poslovna infrastruktura)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9A0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Zemljopisne razlike u regiji su značajne. Glavni regionalni ekonomski centri smješteni su istočnom dijelu graničnog područja (</w:t>
      </w:r>
      <w:proofErr w:type="spellStart"/>
      <w:r w:rsidRPr="00EE494C">
        <w:rPr>
          <w:rFonts w:ascii="Times New Roman" w:hAnsi="Times New Roman" w:cs="Times New Roman"/>
        </w:rPr>
        <w:t>Pécs</w:t>
      </w:r>
      <w:proofErr w:type="spellEnd"/>
      <w:r w:rsidRPr="00EE494C">
        <w:rPr>
          <w:rFonts w:ascii="Times New Roman" w:hAnsi="Times New Roman" w:cs="Times New Roman"/>
        </w:rPr>
        <w:t xml:space="preserve"> – Osijek), centri u nastajanju su u zapadnom dijelu (</w:t>
      </w:r>
      <w:proofErr w:type="spellStart"/>
      <w:r w:rsidRPr="00EE494C">
        <w:rPr>
          <w:rFonts w:ascii="Times New Roman" w:hAnsi="Times New Roman" w:cs="Times New Roman"/>
        </w:rPr>
        <w:t>Nagykanizsa</w:t>
      </w:r>
      <w:proofErr w:type="spellEnd"/>
      <w:r w:rsidRPr="00EE494C">
        <w:rPr>
          <w:rFonts w:ascii="Times New Roman" w:hAnsi="Times New Roman" w:cs="Times New Roman"/>
        </w:rPr>
        <w:t xml:space="preserve"> – Čakovec - Varaždin), dok područja u središnjem dijelu zaostaju i pokazuju značajke ozbiljnog siromaštva i socijalne nazadnosti, posebno, ali ne isključivo na mađarskoj strani (</w:t>
      </w:r>
      <w:proofErr w:type="spellStart"/>
      <w:r w:rsidRPr="00EE494C">
        <w:rPr>
          <w:rFonts w:ascii="Times New Roman" w:hAnsi="Times New Roman" w:cs="Times New Roman"/>
        </w:rPr>
        <w:t>Ormánság</w:t>
      </w:r>
      <w:proofErr w:type="spellEnd"/>
      <w:r w:rsidRPr="00EE494C">
        <w:rPr>
          <w:rFonts w:ascii="Times New Roman" w:hAnsi="Times New Roman" w:cs="Times New Roman"/>
        </w:rPr>
        <w:t>).</w:t>
      </w:r>
    </w:p>
    <w:p w:rsidR="008E73A1" w:rsidRPr="00EE494C" w:rsidRDefault="008E73A1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9A0" w:rsidRPr="00EE494C" w:rsidRDefault="002F59A0" w:rsidP="00D37E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94C">
        <w:rPr>
          <w:rFonts w:ascii="Times New Roman" w:hAnsi="Times New Roman" w:cs="Times New Roman"/>
        </w:rPr>
        <w:t xml:space="preserve">4. </w:t>
      </w:r>
      <w:r w:rsidRPr="00EE494C">
        <w:rPr>
          <w:rFonts w:ascii="Times New Roman" w:hAnsi="Times New Roman" w:cs="Times New Roman"/>
          <w:b/>
        </w:rPr>
        <w:t>Potencijalni razvojni prioriteti</w:t>
      </w:r>
    </w:p>
    <w:p w:rsidR="00D37E84" w:rsidRPr="00EE494C" w:rsidRDefault="00D37E84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9A0" w:rsidRDefault="002F59A0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Program suradnje će doprinijeti strategiji Europa 2020 kroz ulaganja u tematske ciljeve (TC), prevedene u prioritetne osi kako slijedi:</w:t>
      </w:r>
    </w:p>
    <w:p w:rsidR="00EE494C" w:rsidRPr="00EE494C" w:rsidRDefault="00EE494C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9A0" w:rsidRDefault="002F59A0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>Prioritetna os 1: Ekonomski razvoj</w:t>
      </w:r>
      <w:r w:rsidRPr="00EE494C">
        <w:rPr>
          <w:rFonts w:ascii="Times New Roman" w:hAnsi="Times New Roman" w:cs="Times New Roman"/>
        </w:rPr>
        <w:t xml:space="preserve"> – Jačanje konkurentnosti MSP-ova (TC3)</w:t>
      </w:r>
    </w:p>
    <w:p w:rsidR="00EE494C" w:rsidRPr="00EE494C" w:rsidRDefault="00EE494C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9A0" w:rsidRDefault="002F59A0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E494C">
        <w:rPr>
          <w:rFonts w:ascii="Times New Roman" w:hAnsi="Times New Roman" w:cs="Times New Roman"/>
          <w:b/>
        </w:rPr>
        <w:t>Priotitetna</w:t>
      </w:r>
      <w:proofErr w:type="spellEnd"/>
      <w:r w:rsidRPr="00EE494C">
        <w:rPr>
          <w:rFonts w:ascii="Times New Roman" w:hAnsi="Times New Roman" w:cs="Times New Roman"/>
          <w:b/>
        </w:rPr>
        <w:t xml:space="preserve"> os 2: Održivo korištenje prirodnih i kulturnih dobara</w:t>
      </w:r>
      <w:r w:rsidRPr="00EE494C">
        <w:rPr>
          <w:rFonts w:ascii="Times New Roman" w:hAnsi="Times New Roman" w:cs="Times New Roman"/>
        </w:rPr>
        <w:t xml:space="preserve"> – očuvanje i zaštita okoliša i promicanje učinkovitosti izvora (TC6) </w:t>
      </w:r>
    </w:p>
    <w:p w:rsidR="00EE494C" w:rsidRPr="00EE494C" w:rsidRDefault="00EE494C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9A0" w:rsidRDefault="002F59A0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>Prioritetna os 3: Suradnja</w:t>
      </w:r>
      <w:r w:rsidRPr="00EE494C">
        <w:rPr>
          <w:rFonts w:ascii="Times New Roman" w:hAnsi="Times New Roman" w:cs="Times New Roman"/>
        </w:rPr>
        <w:t xml:space="preserve"> – Jačanje institucionalnih kapaciteta i </w:t>
      </w:r>
      <w:r w:rsidR="00A06F5D" w:rsidRPr="00EE494C">
        <w:rPr>
          <w:rFonts w:ascii="Times New Roman" w:hAnsi="Times New Roman" w:cs="Times New Roman"/>
        </w:rPr>
        <w:t>učinkovita</w:t>
      </w:r>
      <w:r w:rsidRPr="00EE494C">
        <w:rPr>
          <w:rFonts w:ascii="Times New Roman" w:hAnsi="Times New Roman" w:cs="Times New Roman"/>
        </w:rPr>
        <w:t xml:space="preserve"> javna uprava (TC11)</w:t>
      </w:r>
    </w:p>
    <w:p w:rsidR="00EE494C" w:rsidRPr="00EE494C" w:rsidRDefault="00EE494C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9A0" w:rsidRDefault="002F59A0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>Prioritetna os 4: Obrazovanje</w:t>
      </w:r>
      <w:r w:rsidRPr="00EE494C">
        <w:rPr>
          <w:rFonts w:ascii="Times New Roman" w:hAnsi="Times New Roman" w:cs="Times New Roman"/>
        </w:rPr>
        <w:t xml:space="preserve"> – Ulaganje u obrazovanje</w:t>
      </w:r>
      <w:r w:rsidR="00496922" w:rsidRPr="00EE494C">
        <w:rPr>
          <w:rFonts w:ascii="Times New Roman" w:hAnsi="Times New Roman" w:cs="Times New Roman"/>
        </w:rPr>
        <w:t xml:space="preserve"> i obuke</w:t>
      </w:r>
      <w:r w:rsidRPr="00EE494C">
        <w:rPr>
          <w:rFonts w:ascii="Times New Roman" w:hAnsi="Times New Roman" w:cs="Times New Roman"/>
        </w:rPr>
        <w:t xml:space="preserve">, uključujući </w:t>
      </w:r>
      <w:r w:rsidR="00496922" w:rsidRPr="00EE494C">
        <w:rPr>
          <w:rFonts w:ascii="Times New Roman" w:hAnsi="Times New Roman" w:cs="Times New Roman"/>
        </w:rPr>
        <w:t>strukovno usavršavanje i cjeloživotno učenje kroz razvijanje infrastrukture za obrazovanje i obuku (TC10)</w:t>
      </w:r>
    </w:p>
    <w:p w:rsidR="00EE494C" w:rsidRPr="00EE494C" w:rsidRDefault="00EE494C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922" w:rsidRPr="00EE494C" w:rsidRDefault="00496922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Prioritetna os 5: Tehnička pomoć</w:t>
      </w:r>
    </w:p>
    <w:p w:rsidR="00496922" w:rsidRPr="00EE494C" w:rsidRDefault="00496922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8B8" w:rsidRDefault="00496922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>Ekonomski razvoj</w:t>
      </w:r>
      <w:r w:rsidRPr="00EE494C">
        <w:rPr>
          <w:rFonts w:ascii="Times New Roman" w:hAnsi="Times New Roman" w:cs="Times New Roman"/>
        </w:rPr>
        <w:t xml:space="preserve">: približno 20% sredstava iz EFRR-a planira se uložiti u ovu prioritetnu os, u potpunosti namijenjenu tematskom cilju 3, Jačanje konkurentnosti MSP-ova. Podupirući ovaj sektor stimulirat će se lokalno gospodarstvo pograničnih regija te će važnost ovih intervencija </w:t>
      </w:r>
      <w:r w:rsidR="00FE7F19" w:rsidRPr="00EE494C">
        <w:rPr>
          <w:rFonts w:ascii="Times New Roman" w:hAnsi="Times New Roman" w:cs="Times New Roman"/>
        </w:rPr>
        <w:t xml:space="preserve">biti iznimno visoka. Sredstva će biti namijenjena potpornim poduzetničkim institucijama </w:t>
      </w:r>
      <w:r w:rsidRPr="00EE494C">
        <w:rPr>
          <w:rFonts w:ascii="Times New Roman" w:hAnsi="Times New Roman" w:cs="Times New Roman"/>
        </w:rPr>
        <w:t xml:space="preserve">koje mogu promicati poduzetništvo i ohrabrivati razvoj lokalnog gospodarstva, poboljšati kapacitete MSP-ova proizvodeći dodanu vrijednost i jačajući njihovu konkurentnost na domaćim i inozemnim tržištima. </w:t>
      </w:r>
    </w:p>
    <w:p w:rsidR="00656C7F" w:rsidRPr="00EE494C" w:rsidRDefault="00656C7F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6922" w:rsidRPr="00EE494C" w:rsidRDefault="00A328B8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 xml:space="preserve">Održivo korištenje prirodnih i kulturnih dobara: </w:t>
      </w:r>
      <w:r w:rsidR="00B813A7" w:rsidRPr="00EE494C">
        <w:rPr>
          <w:rFonts w:ascii="Times New Roman" w:hAnsi="Times New Roman" w:cs="Times New Roman"/>
        </w:rPr>
        <w:t>približno</w:t>
      </w:r>
      <w:r w:rsidRPr="00EE494C">
        <w:rPr>
          <w:rFonts w:ascii="Times New Roman" w:hAnsi="Times New Roman" w:cs="Times New Roman"/>
        </w:rPr>
        <w:t xml:space="preserve"> 55%</w:t>
      </w:r>
      <w:r w:rsidRPr="00EE494C">
        <w:rPr>
          <w:rFonts w:ascii="Times New Roman" w:hAnsi="Times New Roman" w:cs="Times New Roman"/>
          <w:b/>
        </w:rPr>
        <w:t xml:space="preserve"> </w:t>
      </w:r>
      <w:r w:rsidRPr="00EE494C">
        <w:rPr>
          <w:rFonts w:ascii="Times New Roman" w:hAnsi="Times New Roman" w:cs="Times New Roman"/>
        </w:rPr>
        <w:t>sredstava iz EFRR-a planira se uložiti u tematski cilj 6 - očuvanje i zaštita okoliša i promicanje učinkovitosti izvora iz razloga što je prirodna i kulturna baština pogranične regije izuzetno značajna. Kapitaliziranje ovih prednosti doprinijet će ekonomskom razvoju područja kroz promicanje okolišno prijateljskog turizma</w:t>
      </w:r>
      <w:r w:rsidR="00B813A7" w:rsidRPr="00EE494C">
        <w:rPr>
          <w:rFonts w:ascii="Times New Roman" w:hAnsi="Times New Roman" w:cs="Times New Roman"/>
        </w:rPr>
        <w:t xml:space="preserve">. Značaj ove prioritetne osi nedvojbeno je neupitan. </w:t>
      </w:r>
    </w:p>
    <w:p w:rsidR="00D37E84" w:rsidRPr="00EE494C" w:rsidRDefault="00B813A7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Uspostava osnovnih uvjeta za povećano korištenje prirodnih i kulturnih dobara može uključivati značajne troškove, posebno u kontekstu razvoja infrastrukture, čak i ako će se predviđati manji zahvati, primjerice manje ceste ili skele – može se očekivati relativno visok udio sredstava. Također će biti potreban značajan udio sredstava, ako se pristupi čišćenju ratom ugroženih područja.</w:t>
      </w:r>
    </w:p>
    <w:p w:rsidR="00B813A7" w:rsidRPr="00EE494C" w:rsidRDefault="00B813A7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 xml:space="preserve"> </w:t>
      </w:r>
    </w:p>
    <w:p w:rsidR="00B813A7" w:rsidRPr="00EE494C" w:rsidRDefault="00B813A7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 xml:space="preserve">Obrazovanje: </w:t>
      </w:r>
      <w:r w:rsidRPr="00EE494C">
        <w:rPr>
          <w:rFonts w:ascii="Times New Roman" w:hAnsi="Times New Roman" w:cs="Times New Roman"/>
        </w:rPr>
        <w:t>približno</w:t>
      </w:r>
      <w:r w:rsidR="00A06F5D" w:rsidRPr="00EE494C">
        <w:rPr>
          <w:rFonts w:ascii="Times New Roman" w:hAnsi="Times New Roman" w:cs="Times New Roman"/>
        </w:rPr>
        <w:t xml:space="preserve"> 12,</w:t>
      </w:r>
      <w:r w:rsidRPr="00EE494C">
        <w:rPr>
          <w:rFonts w:ascii="Times New Roman" w:hAnsi="Times New Roman" w:cs="Times New Roman"/>
        </w:rPr>
        <w:t>5%</w:t>
      </w:r>
      <w:r w:rsidRPr="00EE494C">
        <w:rPr>
          <w:rFonts w:ascii="Times New Roman" w:hAnsi="Times New Roman" w:cs="Times New Roman"/>
          <w:b/>
        </w:rPr>
        <w:t xml:space="preserve"> </w:t>
      </w:r>
      <w:r w:rsidRPr="00EE494C">
        <w:rPr>
          <w:rFonts w:ascii="Times New Roman" w:hAnsi="Times New Roman" w:cs="Times New Roman"/>
        </w:rPr>
        <w:t>sredstava iz EFRR-a predlaže se uložiti u tematski cilj 10. Iako se još</w:t>
      </w:r>
      <w:r w:rsidR="00A06F5D" w:rsidRPr="00EE494C">
        <w:rPr>
          <w:rFonts w:ascii="Times New Roman" w:hAnsi="Times New Roman" w:cs="Times New Roman"/>
        </w:rPr>
        <w:t xml:space="preserve"> trebaju definirati jasne potrebe za ulaganja u obrazovanje, obuke, uključujući i stručno usavršavanje, troškovi ovakvih investicija obično su niži nego troškovi ulaganja u infrastrukturu kao i postojeći apsorpcijski kapaciteti. </w:t>
      </w:r>
    </w:p>
    <w:p w:rsidR="00D37E84" w:rsidRPr="00EE494C" w:rsidRDefault="00D37E84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F5D" w:rsidRPr="00EE494C" w:rsidRDefault="00A06F5D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  <w:b/>
        </w:rPr>
        <w:t>Suradnja:</w:t>
      </w:r>
      <w:r w:rsidRPr="00EE494C">
        <w:rPr>
          <w:rFonts w:ascii="Times New Roman" w:hAnsi="Times New Roman" w:cs="Times New Roman"/>
        </w:rPr>
        <w:t xml:space="preserve"> približno 12,5% sredstava iz EFRR-a predlaže se uložiti u tematski cilj 11 -  Jačanje institucionalnih kapaciteta javnih tijela i dionika, jer postoji zajednička potražnja da se ispitaju i </w:t>
      </w:r>
      <w:r w:rsidRPr="00EE494C">
        <w:rPr>
          <w:rFonts w:ascii="Times New Roman" w:hAnsi="Times New Roman" w:cs="Times New Roman"/>
        </w:rPr>
        <w:lastRenderedPageBreak/>
        <w:t xml:space="preserve">razmijene iskustva između različitih teritorijalnih jedinica javne uprave. Navedeno bi također trebalo uključiti i promicanje pravne i administrativne suradnje, posebno vezano uz dizajn i provedbu prekograničnih strategija u brojnim poljima od zajedničkog interesa. Iskustva iz prethodnih programa pokazuju istinske prednosti suradnje kroz poticanje motivacije za ulaganje u daljnje zajedničke aktivnosti. Prema tome se međuljudska suradnja smatra jednom od važnijih inicijativa za buduće još više institucionalizirane projekte. </w:t>
      </w:r>
      <w:r w:rsidR="00FE7F19" w:rsidRPr="00EE494C">
        <w:rPr>
          <w:rFonts w:ascii="Times New Roman" w:hAnsi="Times New Roman" w:cs="Times New Roman"/>
        </w:rPr>
        <w:t xml:space="preserve">S druge strane, očekivani projekti iziskuju manje sredstava, a i njihova količina je obično manja. </w:t>
      </w:r>
    </w:p>
    <w:p w:rsidR="00FE7F19" w:rsidRPr="00EE494C" w:rsidRDefault="00FE7F19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F5D" w:rsidRPr="00EE494C" w:rsidRDefault="00A06F5D" w:rsidP="00D37E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94C">
        <w:rPr>
          <w:rFonts w:ascii="Times New Roman" w:hAnsi="Times New Roman" w:cs="Times New Roman"/>
          <w:b/>
        </w:rPr>
        <w:t xml:space="preserve">5. </w:t>
      </w:r>
      <w:r w:rsidR="00FE7F19" w:rsidRPr="00EE494C">
        <w:rPr>
          <w:rFonts w:ascii="Times New Roman" w:hAnsi="Times New Roman" w:cs="Times New Roman"/>
          <w:b/>
        </w:rPr>
        <w:t>Određivanje negativnih utjecaja (vezano uz treće zemlje)</w:t>
      </w:r>
    </w:p>
    <w:p w:rsidR="00A06F5D" w:rsidRPr="00EE494C" w:rsidRDefault="00FE7F19" w:rsidP="00D37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94C">
        <w:rPr>
          <w:rFonts w:ascii="Times New Roman" w:hAnsi="Times New Roman" w:cs="Times New Roman"/>
        </w:rPr>
        <w:t>Na temelju do sada stečenih iskustava, navedeni ciljevi i predložene aktivnosti neće imati značajan negativan prekogranični efekt, koji bi mogao utjecati na treće zemlje</w:t>
      </w:r>
    </w:p>
    <w:p w:rsidR="002F59A0" w:rsidRPr="00EE494C" w:rsidRDefault="002F59A0" w:rsidP="00D37E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A0" w:rsidRPr="00EE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0A2"/>
    <w:multiLevelType w:val="hybridMultilevel"/>
    <w:tmpl w:val="03FE9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03FB"/>
    <w:multiLevelType w:val="hybridMultilevel"/>
    <w:tmpl w:val="A788B66E"/>
    <w:lvl w:ilvl="0" w:tplc="DA3E0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0C3C"/>
    <w:multiLevelType w:val="hybridMultilevel"/>
    <w:tmpl w:val="11FC2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1315"/>
    <w:multiLevelType w:val="hybridMultilevel"/>
    <w:tmpl w:val="8D602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4"/>
    <w:rsid w:val="000A7909"/>
    <w:rsid w:val="002F59A0"/>
    <w:rsid w:val="00473727"/>
    <w:rsid w:val="00496922"/>
    <w:rsid w:val="00656C7F"/>
    <w:rsid w:val="007028CE"/>
    <w:rsid w:val="00716B87"/>
    <w:rsid w:val="008E73A1"/>
    <w:rsid w:val="009B5364"/>
    <w:rsid w:val="00A06F5D"/>
    <w:rsid w:val="00A328B8"/>
    <w:rsid w:val="00B813A7"/>
    <w:rsid w:val="00C939D4"/>
    <w:rsid w:val="00D37E84"/>
    <w:rsid w:val="00EE494C"/>
    <w:rsid w:val="00F051B0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937A-5CB5-4D6F-93EE-5168A0A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9B5364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E73A1"/>
  </w:style>
  <w:style w:type="paragraph" w:customStyle="1" w:styleId="TabelleText">
    <w:name w:val="Tabelle_Text"/>
    <w:basedOn w:val="Normal"/>
    <w:link w:val="TabelleTextZchn"/>
    <w:rsid w:val="008E73A1"/>
    <w:pPr>
      <w:spacing w:before="60" w:after="60" w:line="240" w:lineRule="auto"/>
    </w:pPr>
    <w:rPr>
      <w:rFonts w:ascii="Arial" w:eastAsia="Arial" w:hAnsi="Arial" w:cs="Arial"/>
      <w:lang w:val="en-GB"/>
    </w:rPr>
  </w:style>
  <w:style w:type="character" w:customStyle="1" w:styleId="TabelleTextZchn">
    <w:name w:val="Tabelle_Text Zchn"/>
    <w:basedOn w:val="DefaultParagraphFont"/>
    <w:link w:val="TabelleText"/>
    <w:locked/>
    <w:rsid w:val="008E73A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MRRŠVG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mrrfeu</dc:creator>
  <cp:lastModifiedBy>mrrfeu</cp:lastModifiedBy>
  <cp:revision>3</cp:revision>
  <dcterms:created xsi:type="dcterms:W3CDTF">2014-06-24T12:45:00Z</dcterms:created>
  <dcterms:modified xsi:type="dcterms:W3CDTF">2014-06-24T12:46:00Z</dcterms:modified>
</cp:coreProperties>
</file>